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SOC 2 Type II Readiness Checklist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r>
        <w:t xml:space="preserve">Contact: legal@acme.com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Security Policy (`SECURITY.md`)</w:t>
      </w:r>
    </w:p>
    <w:p>
      <w:pPr>
        <w:pStyle w:val="ListParagraph"/>
        <w:numPr>
          <w:ilvl w:val="0"/>
          <w:numId w:val="1"/>
        </w:numPr>
      </w:pPr>
      <w:r>
        <w:t xml:space="preserve">Access Control Policy (`ACCESS_CONTROL_POLICY.md`)</w:t>
      </w:r>
    </w:p>
    <w:p>
      <w:pPr>
        <w:pStyle w:val="ListParagraph"/>
        <w:numPr>
          <w:ilvl w:val="0"/>
          <w:numId w:val="1"/>
        </w:numPr>
      </w:pPr>
      <w:r>
        <w:t xml:space="preserve">Change Management Policy (`CHANGE_MANAGEMENT_POLICY.md`)</w:t>
      </w:r>
    </w:p>
    <w:p>
      <w:pPr>
        <w:pStyle w:val="ListParagraph"/>
        <w:numPr>
          <w:ilvl w:val="0"/>
          <w:numId w:val="1"/>
        </w:numPr>
      </w:pPr>
      <w:r>
        <w:t xml:space="preserve">Audit Log Policy (`AUDIT_LOG_POLICY.md`)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**Disclaimer:** This checklist is generated based on automated code analysis and is intended as a starting point for SOC 2 Type II readiness. It is not a substitute for a formal SOC 2 audit or professional guidance. Engage a qualified CPA firm for your official SOC 2 examination.</w:t>
      </w:r>
    </w:p>
    <w:p>
      <w:pPr>
        <w:pStyle w:val="Heading2"/>
      </w:pPr>
      <w:r>
        <w:t>1. Overview</w:t>
      </w:r>
    </w:p>
    <w:p>
      <w:r>
        <w:t xml:space="preserve">This checklist helps Acme Inc prepare for a SOC 2 Type II audit by mapping detected services and infrastructure to the five Trust Services Criteria (TSC). Each section contains actionable items tailored to your project's technology stack.</w:t>
      </w:r>
    </w:p>
    <w:p>
      <w:r>
        <w:t xml:space="preserve">Detected services: 8</w:t>
      </w:r>
    </w:p>
    <w:p>
      <w:r>
        <w:t xml:space="preserve">Relevant SOC 2 sections: Availability (A1), Security (CC6), Processing Integrity (PI1), Confidentiality (C1), Privacy (P1-P8)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2. Service-to-Control Mapping</w:t>
      </w:r>
    </w:p>
    <w:p>
      <w:r>
        <w:t xml:space="preserve">The following table maps each detected service to the applicable SOC 2 Trust Services Criteria:</w:t>
      </w:r>
    </w:p>
    <w:p>
      <w:r>
        <w:rPr>
          <w:sz w:val="20"/>
        </w:rPr>
        <w:t xml:space="preserve">Detected Service  |  Category  |  Mapped SOC 2 Controls</w:t>
      </w:r>
    </w:p>
    <w:p>
      <w:r>
        <w:rPr>
          <w:sz w:val="20"/>
        </w:rPr>
        <w:t xml:space="preserve">@sentry/node  |  Error Monitoring  |  Availability (A1), Security (CC6)</w:t>
      </w:r>
    </w:p>
    <w:p>
      <w:r>
        <w:rPr>
          <w:sz w:val="20"/>
        </w:rPr>
        <w:t xml:space="preserve">@supabase/supabase-js  |  Authentication  |  Security (CC6)</w:t>
      </w:r>
    </w:p>
    <w:p>
      <w:r>
        <w:rPr>
          <w:sz w:val="20"/>
        </w:rPr>
        <w:t xml:space="preserve">openai  |  AI Service  |  Processing Integrity (PI1), Confidentiality (C1), Privacy (P1-P8)</w:t>
      </w:r>
    </w:p>
    <w:p>
      <w:r>
        <w:rPr>
          <w:sz w:val="20"/>
        </w:rPr>
        <w:t xml:space="preserve">posthog  |  Analytics  |  Processing Integrity (PI1), Privacy (P1-P8)</w:t>
      </w:r>
    </w:p>
    <w:p>
      <w:r>
        <w:rPr>
          <w:sz w:val="20"/>
        </w:rPr>
        <w:t xml:space="preserve">prisma  |  Database  |  Confidentiality (C1), Security (CC6)</w:t>
      </w:r>
    </w:p>
    <w:p>
      <w:r>
        <w:rPr>
          <w:sz w:val="20"/>
        </w:rPr>
        <w:t xml:space="preserve">resend  |  Email Service  |  Confidentiality (C1), Privacy (P1-P8)</w:t>
      </w:r>
    </w:p>
    <w:p>
      <w:r>
        <w:rPr>
          <w:sz w:val="20"/>
        </w:rPr>
        <w:t xml:space="preserve">stripe  |  Payment Processing  |  Confidentiality (C1), Security (CC6), Processing Integrity (PI1)</w:t>
      </w:r>
    </w:p>
    <w:p>
      <w:r>
        <w:rPr>
          <w:sz w:val="20"/>
        </w:rPr>
        <w:t xml:space="preserve">stripe-ios  |  Payment Processing  |  Confidentiality (C1), Security (CC6), Processing Integrity (PI1)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3. Readiness Checklist</w:t>
      </w:r>
    </w:p>
    <w:p>
      <w:pPr>
        <w:pStyle w:val="Heading3"/>
      </w:pPr>
      <w:r>
        <w:t>Security (CC6) — Common Criteria for Security</w:t>
      </w:r>
    </w:p>
    <w:p>
      <w:r>
        <w:t xml:space="preserve">Objective: Information and systems are protected against unauthorized access, unauthorized disclosure of information, and damage to systems.</w:t>
      </w:r>
    </w:p>
    <w:p>
      <w:pPr>
        <w:pStyle w:val="Heading4"/>
      </w:pPr>
      <w:r>
        <w:t>CC6.1 — Logical and Physical Access Controls</w:t>
      </w:r>
    </w:p>
    <w:p>
      <w:pPr>
        <w:pStyle w:val="ListParagraph"/>
        <w:numPr>
          <w:ilvl w:val="0"/>
          <w:numId w:val="1"/>
        </w:numPr>
      </w:pPr>
      <w:r>
        <w:t xml:space="preserve">[ ] Implement role-based access control (RBAC) for all systems</w:t>
      </w:r>
    </w:p>
    <w:p>
      <w:pPr>
        <w:pStyle w:val="ListParagraph"/>
        <w:numPr>
          <w:ilvl w:val="0"/>
          <w:numId w:val="1"/>
        </w:numPr>
      </w:pPr>
      <w:r>
        <w:t xml:space="preserve">[ ] Review access control configuration for: @supabase/supabase-js</w:t>
      </w:r>
    </w:p>
    <w:p>
      <w:pPr>
        <w:pStyle w:val="ListParagraph"/>
        <w:numPr>
          <w:ilvl w:val="0"/>
          <w:numId w:val="1"/>
        </w:numPr>
      </w:pPr>
      <w:r>
        <w:t xml:space="preserve">[ ] Enforce multi-factor authentication (MFA) for all user accounts</w:t>
      </w:r>
    </w:p>
    <w:p>
      <w:pPr>
        <w:pStyle w:val="ListParagraph"/>
        <w:numPr>
          <w:ilvl w:val="0"/>
          <w:numId w:val="1"/>
        </w:numPr>
      </w:pPr>
      <w:r>
        <w:t xml:space="preserve">[ ] Implement session timeout and automatic logout policies</w:t>
      </w:r>
    </w:p>
    <w:p>
      <w:pPr>
        <w:pStyle w:val="ListParagraph"/>
        <w:numPr>
          <w:ilvl w:val="0"/>
          <w:numId w:val="1"/>
        </w:numPr>
      </w:pPr>
      <w:r>
        <w:t xml:space="preserve">[ ] Document authentication flows and access provisioning/deprovisioning procedures</w:t>
      </w:r>
    </w:p>
    <w:p>
      <w:pPr>
        <w:pStyle w:val="ListParagraph"/>
        <w:numPr>
          <w:ilvl w:val="0"/>
          <w:numId w:val="1"/>
        </w:numPr>
      </w:pPr>
      <w:r>
        <w:t xml:space="preserve">[ ] Maintain an access control matrix documenting who has access to what</w:t>
      </w:r>
    </w:p>
    <w:p>
      <w:pPr>
        <w:pStyle w:val="ListParagraph"/>
        <w:numPr>
          <w:ilvl w:val="0"/>
          <w:numId w:val="1"/>
        </w:numPr>
      </w:pPr>
      <w:r>
        <w:t xml:space="preserve">[ ] Review and recertify user access quarterly</w:t>
      </w:r>
    </w:p>
    <w:p>
      <w:pPr>
        <w:pStyle w:val="ListParagraph"/>
        <w:numPr>
          <w:ilvl w:val="0"/>
          <w:numId w:val="1"/>
        </w:numPr>
      </w:pPr>
      <w:r>
        <w:t xml:space="preserve">[ ] Log all access events and authentication attempts</w:t>
      </w:r>
    </w:p>
    <w:p>
      <w:pPr>
        <w:pStyle w:val="Heading4"/>
      </w:pPr>
      <w:r>
        <w:t>CC6.6 — Encryption</w:t>
      </w:r>
    </w:p>
    <w:p>
      <w:pPr>
        <w:pStyle w:val="ListParagraph"/>
        <w:numPr>
          <w:ilvl w:val="0"/>
          <w:numId w:val="1"/>
        </w:numPr>
      </w:pPr>
      <w:r>
        <w:t xml:space="preserve">[ ] Enforce TLS 1.2+ for all data in transit</w:t>
      </w:r>
    </w:p>
    <w:p>
      <w:pPr>
        <w:pStyle w:val="ListParagraph"/>
        <w:numPr>
          <w:ilvl w:val="0"/>
          <w:numId w:val="1"/>
        </w:numPr>
      </w:pPr>
      <w:r>
        <w:t xml:space="preserve">[ ] Enable encryption at rest for: prisma</w:t>
      </w:r>
    </w:p>
    <w:p>
      <w:pPr>
        <w:pStyle w:val="ListParagraph"/>
        <w:numPr>
          <w:ilvl w:val="0"/>
          <w:numId w:val="1"/>
        </w:numPr>
      </w:pPr>
      <w:r>
        <w:t xml:space="preserve">[ ] Document encryption standards and key management procedures</w:t>
      </w:r>
    </w:p>
    <w:p>
      <w:pPr>
        <w:pStyle w:val="ListParagraph"/>
        <w:numPr>
          <w:ilvl w:val="0"/>
          <w:numId w:val="1"/>
        </w:numPr>
      </w:pPr>
      <w:r>
        <w:t xml:space="preserve">[ ] Rotate encryption keys on a defined schedule</w:t>
      </w:r>
    </w:p>
    <w:p>
      <w:pPr>
        <w:pStyle w:val="Heading4"/>
      </w:pPr>
      <w:r>
        <w:t>CC6.8 — Vulnerability Management</w:t>
      </w:r>
    </w:p>
    <w:p>
      <w:pPr>
        <w:pStyle w:val="ListParagraph"/>
        <w:numPr>
          <w:ilvl w:val="0"/>
          <w:numId w:val="1"/>
        </w:numPr>
      </w:pPr>
      <w:r>
        <w:t xml:space="preserve">[ ] Run automated dependency vulnerability scanning (e.g., npm audit, Snyk, Dependabot)</w:t>
      </w:r>
    </w:p>
    <w:p>
      <w:pPr>
        <w:pStyle w:val="ListParagraph"/>
        <w:numPr>
          <w:ilvl w:val="0"/>
          <w:numId w:val="1"/>
        </w:numPr>
      </w:pPr>
      <w:r>
        <w:t xml:space="preserve">[ ] Conduct periodic penetration testing (at least annually)</w:t>
      </w:r>
    </w:p>
    <w:p>
      <w:pPr>
        <w:pStyle w:val="ListParagraph"/>
        <w:numPr>
          <w:ilvl w:val="0"/>
          <w:numId w:val="1"/>
        </w:numPr>
      </w:pPr>
      <w:r>
        <w:t xml:space="preserve">[ ] Maintain a vulnerability remediation SLA (critical: 24h, high: 7d, medium: 30d, low: 90d)</w:t>
      </w:r>
    </w:p>
    <w:p>
      <w:pPr>
        <w:pStyle w:val="ListParagraph"/>
        <w:numPr>
          <w:ilvl w:val="0"/>
          <w:numId w:val="1"/>
        </w:numPr>
      </w:pPr>
      <w:r>
        <w:t xml:space="preserve">[ ] Document and track all identified vulnerabilities to resolution</w:t>
      </w:r>
    </w:p>
    <w:p>
      <w:pPr>
        <w:pBdr>
          <w:bottom w:val="single" w:sz="6" w:space="1" w:color="999999"/>
        </w:pBdr>
      </w:pPr>
    </w:p>
    <w:p>
      <w:pPr>
        <w:pStyle w:val="Heading3"/>
      </w:pPr>
      <w:r>
        <w:t>Availability (A1) — Availability for Operations</w:t>
      </w:r>
    </w:p>
    <w:p>
      <w:r>
        <w:t xml:space="preserve">Objective: The system is available for operation and use as committed or agreed.</w:t>
      </w:r>
    </w:p>
    <w:p>
      <w:pPr>
        <w:pStyle w:val="Heading4"/>
      </w:pPr>
      <w:r>
        <w:t>A1.1 — Uptime Monitoring and SLA</w:t>
      </w:r>
    </w:p>
    <w:p>
      <w:pPr>
        <w:pStyle w:val="ListParagraph"/>
        <w:numPr>
          <w:ilvl w:val="0"/>
          <w:numId w:val="1"/>
        </w:numPr>
      </w:pPr>
      <w:r>
        <w:t xml:space="preserve">[ ] Configure alerting in: @sentry/node</w:t>
      </w:r>
    </w:p>
    <w:p>
      <w:pPr>
        <w:pStyle w:val="ListParagraph"/>
        <w:numPr>
          <w:ilvl w:val="0"/>
          <w:numId w:val="1"/>
        </w:numPr>
      </w:pPr>
      <w:r>
        <w:t xml:space="preserve">[ ] Define uptime SLA targets (e.g., 99.9% availability)</w:t>
      </w:r>
    </w:p>
    <w:p>
      <w:pPr>
        <w:pStyle w:val="ListParagraph"/>
        <w:numPr>
          <w:ilvl w:val="0"/>
          <w:numId w:val="1"/>
        </w:numPr>
      </w:pPr>
      <w:r>
        <w:t xml:space="preserve">[ ] Set up real-time health check endpoints</w:t>
      </w:r>
    </w:p>
    <w:p>
      <w:pPr>
        <w:pStyle w:val="ListParagraph"/>
        <w:numPr>
          <w:ilvl w:val="0"/>
          <w:numId w:val="1"/>
        </w:numPr>
      </w:pPr>
      <w:r>
        <w:t xml:space="preserve">[ ] Implement automated incident alerting with escalation procedures</w:t>
      </w:r>
    </w:p>
    <w:p>
      <w:pPr>
        <w:pStyle w:val="Heading4"/>
      </w:pPr>
      <w:r>
        <w:t>A1.2 — Disaster Recovery and Business Continuity</w:t>
      </w:r>
    </w:p>
    <w:p>
      <w:pPr>
        <w:pStyle w:val="ListParagraph"/>
        <w:numPr>
          <w:ilvl w:val="0"/>
          <w:numId w:val="1"/>
        </w:numPr>
      </w:pPr>
      <w:r>
        <w:t xml:space="preserve">[ ] Document a Disaster Recovery Plan (DRP) with defined RTO and RPO</w:t>
      </w:r>
    </w:p>
    <w:p>
      <w:pPr>
        <w:pStyle w:val="ListParagraph"/>
        <w:numPr>
          <w:ilvl w:val="0"/>
          <w:numId w:val="1"/>
        </w:numPr>
      </w:pPr>
      <w:r>
        <w:t xml:space="preserve">[ ] Test disaster recovery procedures at least annually</w:t>
      </w:r>
    </w:p>
    <w:p>
      <w:pPr>
        <w:pStyle w:val="ListParagraph"/>
        <w:numPr>
          <w:ilvl w:val="0"/>
          <w:numId w:val="1"/>
        </w:numPr>
      </w:pPr>
      <w:r>
        <w:t xml:space="preserve">[ ] Maintain automated backups with documented retention schedule</w:t>
      </w:r>
    </w:p>
    <w:p>
      <w:pPr>
        <w:pStyle w:val="ListParagraph"/>
        <w:numPr>
          <w:ilvl w:val="0"/>
          <w:numId w:val="1"/>
        </w:numPr>
      </w:pPr>
      <w:r>
        <w:t xml:space="preserve">[ ] Define and test failover procedures for critical systems</w:t>
      </w:r>
    </w:p>
    <w:p>
      <w:pPr>
        <w:pStyle w:val="ListParagraph"/>
        <w:numPr>
          <w:ilvl w:val="0"/>
          <w:numId w:val="1"/>
        </w:numPr>
      </w:pPr>
      <w:r>
        <w:t xml:space="preserve">[ ] Document business continuity procedures for extended outages</w:t>
      </w:r>
    </w:p>
    <w:p>
      <w:pPr>
        <w:pStyle w:val="ListParagraph"/>
        <w:numPr>
          <w:ilvl w:val="0"/>
          <w:numId w:val="1"/>
        </w:numPr>
      </w:pPr>
      <w:r>
        <w:t xml:space="preserve">[ ] Maintain an up-to-date system architecture diagram</w:t>
      </w:r>
    </w:p>
    <w:p>
      <w:pPr>
        <w:pStyle w:val="Heading4"/>
      </w:pPr>
      <w:r>
        <w:t>A1.3 — Capacity Planning</w:t>
      </w:r>
    </w:p>
    <w:p>
      <w:pPr>
        <w:pStyle w:val="ListParagraph"/>
        <w:numPr>
          <w:ilvl w:val="0"/>
          <w:numId w:val="1"/>
        </w:numPr>
      </w:pPr>
      <w:r>
        <w:t xml:space="preserve">[ ] Monitor resource utilization (CPU, memory, storage, network)</w:t>
      </w:r>
    </w:p>
    <w:p>
      <w:pPr>
        <w:pStyle w:val="ListParagraph"/>
        <w:numPr>
          <w:ilvl w:val="0"/>
          <w:numId w:val="1"/>
        </w:numPr>
      </w:pPr>
      <w:r>
        <w:t xml:space="preserve">[ ] Set capacity threshold alerts (e.g., 80% utilization triggers review)</w:t>
      </w:r>
    </w:p>
    <w:p>
      <w:pPr>
        <w:pStyle w:val="ListParagraph"/>
        <w:numPr>
          <w:ilvl w:val="0"/>
          <w:numId w:val="1"/>
        </w:numPr>
      </w:pPr>
      <w:r>
        <w:t xml:space="preserve">[ ] Document scaling procedures (horizontal and vertical)</w:t>
      </w:r>
    </w:p>
    <w:p>
      <w:pPr>
        <w:pStyle w:val="ListParagraph"/>
        <w:numPr>
          <w:ilvl w:val="0"/>
          <w:numId w:val="1"/>
        </w:numPr>
      </w:pPr>
      <w:r>
        <w:t xml:space="preserve">[ ] Review capacity plans quarterly</w:t>
      </w:r>
    </w:p>
    <w:p>
      <w:pPr>
        <w:pBdr>
          <w:bottom w:val="single" w:sz="6" w:space="1" w:color="999999"/>
        </w:pBdr>
      </w:pPr>
    </w:p>
    <w:p>
      <w:pPr>
        <w:pStyle w:val="Heading3"/>
      </w:pPr>
      <w:r>
        <w:t>Processing Integrity (PI1) — System Processing is Complete, Valid, Accurate, and Timely</w:t>
      </w:r>
    </w:p>
    <w:p>
      <w:r>
        <w:t xml:space="preserve">Objective: System processing is complete, valid, accurate, timely, and authorized.</w:t>
      </w:r>
    </w:p>
    <w:p>
      <w:pPr>
        <w:pStyle w:val="Heading4"/>
      </w:pPr>
      <w:r>
        <w:t>PI1.1 — Data Validation and Error Handling</w:t>
      </w:r>
    </w:p>
    <w:p>
      <w:pPr>
        <w:pStyle w:val="ListParagraph"/>
        <w:numPr>
          <w:ilvl w:val="0"/>
          <w:numId w:val="1"/>
        </w:numPr>
      </w:pPr>
      <w:r>
        <w:t xml:space="preserve">[ ] Implement input validation on all user-facing endpoints</w:t>
      </w:r>
    </w:p>
    <w:p>
      <w:pPr>
        <w:pStyle w:val="ListParagraph"/>
        <w:numPr>
          <w:ilvl w:val="0"/>
          <w:numId w:val="1"/>
        </w:numPr>
      </w:pPr>
      <w:r>
        <w:t xml:space="preserve">[ ] Use schema validation for API request and response payloads</w:t>
      </w:r>
    </w:p>
    <w:p>
      <w:pPr>
        <w:pStyle w:val="ListParagraph"/>
        <w:numPr>
          <w:ilvl w:val="0"/>
          <w:numId w:val="1"/>
        </w:numPr>
      </w:pPr>
      <w:r>
        <w:t xml:space="preserve">[ ] Log and alert on data validation failures</w:t>
      </w:r>
    </w:p>
    <w:p>
      <w:pPr>
        <w:pStyle w:val="ListParagraph"/>
        <w:numPr>
          <w:ilvl w:val="0"/>
          <w:numId w:val="1"/>
        </w:numPr>
      </w:pPr>
      <w:r>
        <w:t xml:space="preserve">[ ] Implement idempotency controls for payment transactions via: stripe, stripe-ios</w:t>
      </w:r>
    </w:p>
    <w:p>
      <w:pPr>
        <w:pStyle w:val="ListParagraph"/>
        <w:numPr>
          <w:ilvl w:val="0"/>
          <w:numId w:val="1"/>
        </w:numPr>
      </w:pPr>
      <w:r>
        <w:t xml:space="preserve">[ ] Validate transaction amounts and currency codes before processing</w:t>
      </w:r>
    </w:p>
    <w:p>
      <w:pPr>
        <w:pStyle w:val="ListParagraph"/>
        <w:numPr>
          <w:ilvl w:val="0"/>
          <w:numId w:val="1"/>
        </w:numPr>
      </w:pPr>
      <w:r>
        <w:t xml:space="preserve">[ ] Reconcile payment records daily</w:t>
      </w:r>
    </w:p>
    <w:p>
      <w:pPr>
        <w:pStyle w:val="ListParagraph"/>
        <w:numPr>
          <w:ilvl w:val="0"/>
          <w:numId w:val="1"/>
        </w:numPr>
      </w:pPr>
      <w:r>
        <w:t xml:space="preserve">[ ] Validate AI model inputs and outputs for: openai</w:t>
      </w:r>
    </w:p>
    <w:p>
      <w:pPr>
        <w:pStyle w:val="ListParagraph"/>
        <w:numPr>
          <w:ilvl w:val="0"/>
          <w:numId w:val="1"/>
        </w:numPr>
      </w:pPr>
      <w:r>
        <w:t xml:space="preserve">[ ] Implement guardrails for AI-generated content (safety filters, output validation)</w:t>
      </w:r>
    </w:p>
    <w:p>
      <w:pPr>
        <w:pStyle w:val="ListParagraph"/>
        <w:numPr>
          <w:ilvl w:val="0"/>
          <w:numId w:val="1"/>
        </w:numPr>
      </w:pPr>
      <w:r>
        <w:t xml:space="preserve">[ ] Log AI processing decisions for auditability</w:t>
      </w:r>
    </w:p>
    <w:p>
      <w:pPr>
        <w:pStyle w:val="Heading4"/>
      </w:pPr>
      <w:r>
        <w:t>PI1.2 — Error Handling and Exception Management</w:t>
      </w:r>
    </w:p>
    <w:p>
      <w:pPr>
        <w:pStyle w:val="ListParagraph"/>
        <w:numPr>
          <w:ilvl w:val="0"/>
          <w:numId w:val="1"/>
        </w:numPr>
      </w:pPr>
      <w:r>
        <w:t xml:space="preserve">[ ] Implement structured error handling across all application layers</w:t>
      </w:r>
    </w:p>
    <w:p>
      <w:pPr>
        <w:pStyle w:val="ListParagraph"/>
        <w:numPr>
          <w:ilvl w:val="0"/>
          <w:numId w:val="1"/>
        </w:numPr>
      </w:pPr>
      <w:r>
        <w:t xml:space="preserve">[ ] Log all unhandled exceptions with sufficient context for investigation</w:t>
      </w:r>
    </w:p>
    <w:p>
      <w:pPr>
        <w:pStyle w:val="ListParagraph"/>
        <w:numPr>
          <w:ilvl w:val="0"/>
          <w:numId w:val="1"/>
        </w:numPr>
      </w:pPr>
      <w:r>
        <w:t xml:space="preserve">[ ] Define error severity levels and corresponding response procedures</w:t>
      </w:r>
    </w:p>
    <w:p>
      <w:pPr>
        <w:pStyle w:val="ListParagraph"/>
        <w:numPr>
          <w:ilvl w:val="0"/>
          <w:numId w:val="1"/>
        </w:numPr>
      </w:pPr>
      <w:r>
        <w:t xml:space="preserve">[ ] Monitor error rates and set alerting thresholds</w:t>
      </w:r>
    </w:p>
    <w:p>
      <w:pPr>
        <w:pStyle w:val="ListParagraph"/>
        <w:numPr>
          <w:ilvl w:val="0"/>
          <w:numId w:val="1"/>
        </w:numPr>
      </w:pPr>
      <w:r>
        <w:t xml:space="preserve">[ ] Implement graceful degradation for non-critical service failures</w:t>
      </w:r>
    </w:p>
    <w:p>
      <w:pPr>
        <w:pStyle w:val="Heading4"/>
      </w:pPr>
      <w:r>
        <w:t>PI1.3 — Change Management</w:t>
      </w:r>
    </w:p>
    <w:p>
      <w:pPr>
        <w:pStyle w:val="ListParagraph"/>
        <w:numPr>
          <w:ilvl w:val="0"/>
          <w:numId w:val="1"/>
        </w:numPr>
      </w:pPr>
      <w:r>
        <w:t xml:space="preserve">[ ] Require code review for all production changes</w:t>
      </w:r>
    </w:p>
    <w:p>
      <w:pPr>
        <w:pStyle w:val="ListParagraph"/>
        <w:numPr>
          <w:ilvl w:val="0"/>
          <w:numId w:val="1"/>
        </w:numPr>
      </w:pPr>
      <w:r>
        <w:t xml:space="preserve">[ ] Maintain a change log or release notes</w:t>
      </w:r>
    </w:p>
    <w:p>
      <w:pPr>
        <w:pStyle w:val="ListParagraph"/>
        <w:numPr>
          <w:ilvl w:val="0"/>
          <w:numId w:val="1"/>
        </w:numPr>
      </w:pPr>
      <w:r>
        <w:t xml:space="preserve">[ ] Implement automated testing in CI/CD pipelines</w:t>
      </w:r>
    </w:p>
    <w:p>
      <w:pPr>
        <w:pStyle w:val="ListParagraph"/>
        <w:numPr>
          <w:ilvl w:val="0"/>
          <w:numId w:val="1"/>
        </w:numPr>
      </w:pPr>
      <w:r>
        <w:t xml:space="preserve">[ ] Document rollback procedures for production deployments</w:t>
      </w:r>
    </w:p>
    <w:p>
      <w:pPr>
        <w:pStyle w:val="ListParagraph"/>
        <w:numPr>
          <w:ilvl w:val="0"/>
          <w:numId w:val="1"/>
        </w:numPr>
      </w:pPr>
      <w:r>
        <w:t xml:space="preserve">[ ] Separate development, staging, and production environments</w:t>
      </w:r>
    </w:p>
    <w:p>
      <w:pPr>
        <w:pBdr>
          <w:bottom w:val="single" w:sz="6" w:space="1" w:color="999999"/>
        </w:pBdr>
      </w:pPr>
    </w:p>
    <w:p>
      <w:pPr>
        <w:pStyle w:val="Heading3"/>
      </w:pPr>
      <w:r>
        <w:t>Confidentiality (C1) — Protection of Confidential Information</w:t>
      </w:r>
    </w:p>
    <w:p>
      <w:r>
        <w:t xml:space="preserve">Objective: Information designated as confidential is protected as committed or agreed.</w:t>
      </w:r>
    </w:p>
    <w:p>
      <w:pPr>
        <w:pStyle w:val="Heading4"/>
      </w:pPr>
      <w:r>
        <w:t>C1.1 — Data Classification</w:t>
      </w:r>
    </w:p>
    <w:p>
      <w:pPr>
        <w:pStyle w:val="ListParagraph"/>
        <w:numPr>
          <w:ilvl w:val="0"/>
          <w:numId w:val="1"/>
        </w:numPr>
      </w:pPr>
      <w:r>
        <w:t xml:space="preserve">[ ] Define a data classification policy (Public, Internal, Confidential, Restricted)</w:t>
      </w:r>
    </w:p>
    <w:p>
      <w:pPr>
        <w:pStyle w:val="ListParagraph"/>
        <w:numPr>
          <w:ilvl w:val="0"/>
          <w:numId w:val="1"/>
        </w:numPr>
      </w:pPr>
      <w:r>
        <w:t xml:space="preserve">[ ] Classify all data stores and label them according to policy</w:t>
      </w:r>
    </w:p>
    <w:p>
      <w:pPr>
        <w:pStyle w:val="ListParagraph"/>
        <w:numPr>
          <w:ilvl w:val="0"/>
          <w:numId w:val="1"/>
        </w:numPr>
      </w:pPr>
      <w:r>
        <w:t xml:space="preserve">[ ] Train employees on data handling procedures for each classification level</w:t>
      </w:r>
    </w:p>
    <w:p>
      <w:pPr>
        <w:pStyle w:val="ListParagraph"/>
        <w:numPr>
          <w:ilvl w:val="0"/>
          <w:numId w:val="1"/>
        </w:numPr>
      </w:pPr>
      <w:r>
        <w:t xml:space="preserve">[ ] Review data classifications annually or when new data types are introduced</w:t>
      </w:r>
    </w:p>
    <w:p>
      <w:pPr>
        <w:pStyle w:val="Heading4"/>
      </w:pPr>
      <w:r>
        <w:t>C1.2 — Encryption at Rest</w:t>
      </w:r>
    </w:p>
    <w:p>
      <w:pPr>
        <w:pStyle w:val="ListParagraph"/>
        <w:numPr>
          <w:ilvl w:val="0"/>
          <w:numId w:val="1"/>
        </w:numPr>
      </w:pPr>
      <w:r>
        <w:t xml:space="preserve">[ ] Enable transparent data encryption (TDE) or equivalent for: prisma</w:t>
      </w:r>
    </w:p>
    <w:p>
      <w:pPr>
        <w:pStyle w:val="ListParagraph"/>
        <w:numPr>
          <w:ilvl w:val="0"/>
          <w:numId w:val="1"/>
        </w:numPr>
      </w:pPr>
      <w:r>
        <w:t xml:space="preserve">[ ] Encrypt all backups at rest</w:t>
      </w:r>
    </w:p>
    <w:p>
      <w:pPr>
        <w:pStyle w:val="ListParagraph"/>
        <w:numPr>
          <w:ilvl w:val="0"/>
          <w:numId w:val="1"/>
        </w:numPr>
      </w:pPr>
      <w:r>
        <w:t xml:space="preserve">[ ] Document which encryption algorithms and key lengths are in use</w:t>
      </w:r>
    </w:p>
    <w:p>
      <w:pPr>
        <w:pStyle w:val="ListParagraph"/>
        <w:numPr>
          <w:ilvl w:val="0"/>
          <w:numId w:val="1"/>
        </w:numPr>
      </w:pPr>
      <w:r>
        <w:t xml:space="preserve">[ ] Store encryption keys in a dedicated key management service (KMS)</w:t>
      </w:r>
    </w:p>
    <w:p>
      <w:pPr>
        <w:pStyle w:val="Heading4"/>
      </w:pPr>
      <w:r>
        <w:t>C1.3 — Encryption in Transit</w:t>
      </w:r>
    </w:p>
    <w:p>
      <w:pPr>
        <w:pStyle w:val="ListParagraph"/>
        <w:numPr>
          <w:ilvl w:val="0"/>
          <w:numId w:val="1"/>
        </w:numPr>
      </w:pPr>
      <w:r>
        <w:t xml:space="preserve">[ ] Enforce HTTPS/TLS for all external communications</w:t>
      </w:r>
    </w:p>
    <w:p>
      <w:pPr>
        <w:pStyle w:val="ListParagraph"/>
        <w:numPr>
          <w:ilvl w:val="0"/>
          <w:numId w:val="1"/>
        </w:numPr>
      </w:pPr>
      <w:r>
        <w:t xml:space="preserve">[ ] Use TLS for internal service-to-service communication where feasible</w:t>
      </w:r>
    </w:p>
    <w:p>
      <w:pPr>
        <w:pStyle w:val="ListParagraph"/>
        <w:numPr>
          <w:ilvl w:val="0"/>
          <w:numId w:val="1"/>
        </w:numPr>
      </w:pPr>
      <w:r>
        <w:t xml:space="preserve">[ ] Disable deprecated TLS versions (TLS 1.0, 1.1)</w:t>
      </w:r>
    </w:p>
    <w:p>
      <w:pPr>
        <w:pStyle w:val="ListParagraph"/>
        <w:numPr>
          <w:ilvl w:val="0"/>
          <w:numId w:val="1"/>
        </w:numPr>
      </w:pPr>
      <w:r>
        <w:t xml:space="preserve">[ ] Monitor certificate expiration and automate renewal</w:t>
      </w:r>
    </w:p>
    <w:p>
      <w:pPr>
        <w:pStyle w:val="Heading4"/>
      </w:pPr>
      <w:r>
        <w:t>C1.4 — PCI DSS Alignment</w:t>
      </w:r>
    </w:p>
    <w:p>
      <w:r>
        <w:t xml:space="preserve">Payment services detected: stripe, stripe-ios</w:t>
      </w:r>
    </w:p>
    <w:p>
      <w:pPr>
        <w:pStyle w:val="ListParagraph"/>
        <w:numPr>
          <w:ilvl w:val="0"/>
          <w:numId w:val="1"/>
        </w:numPr>
      </w:pPr>
      <w:r>
        <w:t xml:space="preserve">[ ] Confirm PCI DSS compliance scope and complete SAQ (Self-Assessment Questionnaire)</w:t>
      </w:r>
    </w:p>
    <w:p>
      <w:pPr>
        <w:pStyle w:val="ListParagraph"/>
        <w:numPr>
          <w:ilvl w:val="0"/>
          <w:numId w:val="1"/>
        </w:numPr>
      </w:pPr>
      <w:r>
        <w:t xml:space="preserve">[ ] Never store raw credit card numbers — use tokenization via payment processor</w:t>
      </w:r>
    </w:p>
    <w:p>
      <w:pPr>
        <w:pStyle w:val="ListParagraph"/>
        <w:numPr>
          <w:ilvl w:val="0"/>
          <w:numId w:val="1"/>
        </w:numPr>
      </w:pPr>
      <w:r>
        <w:t xml:space="preserve">[ ] Restrict access to cardholder data to authorized personnel only</w:t>
      </w:r>
    </w:p>
    <w:p>
      <w:pPr>
        <w:pStyle w:val="ListParagraph"/>
        <w:numPr>
          <w:ilvl w:val="0"/>
          <w:numId w:val="1"/>
        </w:numPr>
      </w:pPr>
      <w:r>
        <w:t xml:space="preserve">[ ] Maintain PCI DSS compliance documentation and evidence</w:t>
      </w:r>
    </w:p>
    <w:p>
      <w:pPr>
        <w:pStyle w:val="ListParagraph"/>
        <w:numPr>
          <w:ilvl w:val="0"/>
          <w:numId w:val="1"/>
        </w:numPr>
      </w:pPr>
      <w:r>
        <w:t xml:space="preserve">[ ] Conduct quarterly ASV (Approved Scanning Vendor) scans</w:t>
      </w:r>
    </w:p>
    <w:p>
      <w:pPr>
        <w:pBdr>
          <w:bottom w:val="single" w:sz="6" w:space="1" w:color="999999"/>
        </w:pBdr>
      </w:pPr>
    </w:p>
    <w:p>
      <w:pPr>
        <w:pStyle w:val="Heading3"/>
      </w:pPr>
      <w:r>
        <w:t>Privacy (P1-P8) — Personal Information Protection</w:t>
      </w:r>
    </w:p>
    <w:p>
      <w:r>
        <w:t xml:space="preserve">Objective: Personal information is collected, used, retained, disclosed, and disposed of in conformity with commitments and criteria.</w:t>
      </w:r>
    </w:p>
    <w:p>
      <w:pPr>
        <w:pStyle w:val="Heading4"/>
      </w:pPr>
      <w:r>
        <w:t>P1 — Notice</w:t>
      </w:r>
    </w:p>
    <w:p>
      <w:pPr>
        <w:pStyle w:val="ListParagraph"/>
        <w:numPr>
          <w:ilvl w:val="0"/>
          <w:numId w:val="1"/>
        </w:numPr>
      </w:pPr>
      <w:r>
        <w:t xml:space="preserve">[ ] Publish a clear and accessible Privacy Policy</w:t>
      </w:r>
    </w:p>
    <w:p>
      <w:pPr>
        <w:pStyle w:val="ListParagraph"/>
        <w:numPr>
          <w:ilvl w:val="0"/>
          <w:numId w:val="1"/>
        </w:numPr>
      </w:pPr>
      <w:r>
        <w:t xml:space="preserve">[ ] Notify users of data collection purposes before or at the time of collection</w:t>
      </w:r>
    </w:p>
    <w:p>
      <w:pPr>
        <w:pStyle w:val="ListParagraph"/>
        <w:numPr>
          <w:ilvl w:val="0"/>
          <w:numId w:val="1"/>
        </w:numPr>
      </w:pPr>
      <w:r>
        <w:t xml:space="preserve">[ ] Describe the types of personal information collected and reasons for collection</w:t>
      </w:r>
    </w:p>
    <w:p>
      <w:pPr>
        <w:pStyle w:val="ListParagraph"/>
        <w:numPr>
          <w:ilvl w:val="0"/>
          <w:numId w:val="1"/>
        </w:numPr>
      </w:pPr>
      <w:r>
        <w:t xml:space="preserve">[ ] Disclose third-party data sharing for: posthog, openai</w:t>
      </w:r>
    </w:p>
    <w:p>
      <w:pPr>
        <w:pStyle w:val="Heading4"/>
      </w:pPr>
      <w:r>
        <w:t>P2 — Choice and Consent</w:t>
      </w:r>
    </w:p>
    <w:p>
      <w:pPr>
        <w:pStyle w:val="ListParagraph"/>
        <w:numPr>
          <w:ilvl w:val="0"/>
          <w:numId w:val="1"/>
        </w:numPr>
      </w:pPr>
      <w:r>
        <w:t xml:space="preserve">[ ] Obtain explicit consent before collecting personal information</w:t>
      </w:r>
    </w:p>
    <w:p>
      <w:pPr>
        <w:pStyle w:val="ListParagraph"/>
        <w:numPr>
          <w:ilvl w:val="0"/>
          <w:numId w:val="1"/>
        </w:numPr>
      </w:pPr>
      <w:r>
        <w:t xml:space="preserve">[ ] Provide opt-out mechanisms for non-essential data processing</w:t>
      </w:r>
    </w:p>
    <w:p>
      <w:pPr>
        <w:pStyle w:val="ListParagraph"/>
        <w:numPr>
          <w:ilvl w:val="0"/>
          <w:numId w:val="1"/>
        </w:numPr>
      </w:pPr>
      <w:r>
        <w:t xml:space="preserve">[ ] Maintain consent records with timestamps</w:t>
      </w:r>
    </w:p>
    <w:p>
      <w:pPr>
        <w:pStyle w:val="ListParagraph"/>
        <w:numPr>
          <w:ilvl w:val="0"/>
          <w:numId w:val="1"/>
        </w:numPr>
      </w:pPr>
      <w:r>
        <w:t xml:space="preserve">[ ] Implement cookie consent banner with granular opt-in/opt-out controls</w:t>
      </w:r>
    </w:p>
    <w:p>
      <w:pPr>
        <w:pStyle w:val="Heading4"/>
      </w:pPr>
      <w:r>
        <w:t>P3 — Collection</w:t>
      </w:r>
    </w:p>
    <w:p>
      <w:pPr>
        <w:pStyle w:val="ListParagraph"/>
        <w:numPr>
          <w:ilvl w:val="0"/>
          <w:numId w:val="1"/>
        </w:numPr>
      </w:pPr>
      <w:r>
        <w:t xml:space="preserve">[ ] Collect only the minimum personal information necessary (data minimization)</w:t>
      </w:r>
    </w:p>
    <w:p>
      <w:pPr>
        <w:pStyle w:val="ListParagraph"/>
        <w:numPr>
          <w:ilvl w:val="0"/>
          <w:numId w:val="1"/>
        </w:numPr>
      </w:pPr>
      <w:r>
        <w:t xml:space="preserve">[ ] Document the legal basis for each category of personal data collected</w:t>
      </w:r>
    </w:p>
    <w:p>
      <w:pPr>
        <w:pStyle w:val="ListParagraph"/>
        <w:numPr>
          <w:ilvl w:val="0"/>
          <w:numId w:val="1"/>
        </w:numPr>
      </w:pPr>
      <w:r>
        <w:t xml:space="preserve">[ ] Maintain a Record of Processing Activities (ROPA)</w:t>
      </w:r>
    </w:p>
    <w:p>
      <w:pPr>
        <w:pStyle w:val="Heading4"/>
      </w:pPr>
      <w:r>
        <w:t>P4 — Use, Retention, and Disposal</w:t>
      </w:r>
    </w:p>
    <w:p>
      <w:pPr>
        <w:pStyle w:val="ListParagraph"/>
        <w:numPr>
          <w:ilvl w:val="0"/>
          <w:numId w:val="1"/>
        </w:numPr>
      </w:pPr>
      <w:r>
        <w:t xml:space="preserve">[ ] Use personal information only for the purposes disclosed in the privacy notice</w:t>
      </w:r>
    </w:p>
    <w:p>
      <w:pPr>
        <w:pStyle w:val="ListParagraph"/>
        <w:numPr>
          <w:ilvl w:val="0"/>
          <w:numId w:val="1"/>
        </w:numPr>
      </w:pPr>
      <w:r>
        <w:t xml:space="preserve">[ ] Define and enforce data retention periods per data category</w:t>
      </w:r>
    </w:p>
    <w:p>
      <w:pPr>
        <w:pStyle w:val="ListParagraph"/>
        <w:numPr>
          <w:ilvl w:val="0"/>
          <w:numId w:val="1"/>
        </w:numPr>
      </w:pPr>
      <w:r>
        <w:t xml:space="preserve">[ ] Implement automated data purge processes for expired retention periods</w:t>
      </w:r>
    </w:p>
    <w:p>
      <w:pPr>
        <w:pStyle w:val="ListParagraph"/>
        <w:numPr>
          <w:ilvl w:val="0"/>
          <w:numId w:val="1"/>
        </w:numPr>
      </w:pPr>
      <w:r>
        <w:t xml:space="preserve">[ ] Document data disposal procedures (secure deletion, anonymization)</w:t>
      </w:r>
    </w:p>
    <w:p>
      <w:pPr>
        <w:pStyle w:val="Heading4"/>
      </w:pPr>
      <w:r>
        <w:t>P5 — Access</w:t>
      </w:r>
    </w:p>
    <w:p>
      <w:pPr>
        <w:pStyle w:val="ListParagraph"/>
        <w:numPr>
          <w:ilvl w:val="0"/>
          <w:numId w:val="1"/>
        </w:numPr>
      </w:pPr>
      <w:r>
        <w:t xml:space="preserve">[ ] Provide individuals with the ability to access their personal information</w:t>
      </w:r>
    </w:p>
    <w:p>
      <w:pPr>
        <w:pStyle w:val="ListParagraph"/>
        <w:numPr>
          <w:ilvl w:val="0"/>
          <w:numId w:val="1"/>
        </w:numPr>
      </w:pPr>
      <w:r>
        <w:t xml:space="preserve">[ ] Implement a self-service data export feature (e.g., account data download)</w:t>
      </w:r>
    </w:p>
    <w:p>
      <w:pPr>
        <w:pStyle w:val="ListParagraph"/>
        <w:numPr>
          <w:ilvl w:val="0"/>
          <w:numId w:val="1"/>
        </w:numPr>
      </w:pPr>
      <w:r>
        <w:t xml:space="preserve">[ ] Respond to data subject access requests (DSARs) within regulatory timeframes</w:t>
      </w:r>
    </w:p>
    <w:p>
      <w:pPr>
        <w:pStyle w:val="Heading4"/>
      </w:pPr>
      <w:r>
        <w:t>P6 — Disclosure and Sharing</w:t>
      </w:r>
    </w:p>
    <w:p>
      <w:pPr>
        <w:pStyle w:val="ListParagraph"/>
        <w:numPr>
          <w:ilvl w:val="0"/>
          <w:numId w:val="1"/>
        </w:numPr>
      </w:pPr>
      <w:r>
        <w:t xml:space="preserve">[ ] Document all third-party sub-processors and data sharing arrangements</w:t>
      </w:r>
    </w:p>
    <w:p>
      <w:pPr>
        <w:pStyle w:val="ListParagraph"/>
        <w:numPr>
          <w:ilvl w:val="0"/>
          <w:numId w:val="1"/>
        </w:numPr>
      </w:pPr>
      <w:r>
        <w:t xml:space="preserve">[ ] Execute Data Processing Agreements (DPAs) with all sub-processors</w:t>
      </w:r>
    </w:p>
    <w:p>
      <w:pPr>
        <w:pStyle w:val="ListParagraph"/>
        <w:numPr>
          <w:ilvl w:val="0"/>
          <w:numId w:val="1"/>
        </w:numPr>
      </w:pPr>
      <w:r>
        <w:t xml:space="preserve">[ ] Notify individuals of material changes to data sharing practices</w:t>
      </w:r>
    </w:p>
    <w:p>
      <w:pPr>
        <w:pStyle w:val="Heading4"/>
      </w:pPr>
      <w:r>
        <w:t>P7 — Data Quality</w:t>
      </w:r>
    </w:p>
    <w:p>
      <w:pPr>
        <w:pStyle w:val="ListParagraph"/>
        <w:numPr>
          <w:ilvl w:val="0"/>
          <w:numId w:val="1"/>
        </w:numPr>
      </w:pPr>
      <w:r>
        <w:t xml:space="preserve">[ ] Provide mechanisms for individuals to update or correct their personal information</w:t>
      </w:r>
    </w:p>
    <w:p>
      <w:pPr>
        <w:pStyle w:val="ListParagraph"/>
        <w:numPr>
          <w:ilvl w:val="0"/>
          <w:numId w:val="1"/>
        </w:numPr>
      </w:pPr>
      <w:r>
        <w:t xml:space="preserve">[ ] Validate personal data accuracy at the point of collection</w:t>
      </w:r>
    </w:p>
    <w:p>
      <w:pPr>
        <w:pStyle w:val="ListParagraph"/>
        <w:numPr>
          <w:ilvl w:val="0"/>
          <w:numId w:val="1"/>
        </w:numPr>
      </w:pPr>
      <w:r>
        <w:t xml:space="preserve">[ ] Periodically review stored personal data for accuracy</w:t>
      </w:r>
    </w:p>
    <w:p>
      <w:pPr>
        <w:pStyle w:val="Heading4"/>
      </w:pPr>
      <w:r>
        <w:t>P8 — Monitoring and Enforcement</w:t>
      </w:r>
    </w:p>
    <w:p>
      <w:pPr>
        <w:pStyle w:val="ListParagraph"/>
        <w:numPr>
          <w:ilvl w:val="0"/>
          <w:numId w:val="1"/>
        </w:numPr>
      </w:pPr>
      <w:r>
        <w:t xml:space="preserve">[ ] Conduct periodic privacy impact assessments (PIAs)</w:t>
      </w:r>
    </w:p>
    <w:p>
      <w:pPr>
        <w:pStyle w:val="ListParagraph"/>
        <w:numPr>
          <w:ilvl w:val="0"/>
          <w:numId w:val="1"/>
        </w:numPr>
      </w:pPr>
      <w:r>
        <w:t xml:space="preserve">[ ] Monitor for unauthorized access to personal information</w:t>
      </w:r>
    </w:p>
    <w:p>
      <w:pPr>
        <w:pStyle w:val="ListParagraph"/>
        <w:numPr>
          <w:ilvl w:val="0"/>
          <w:numId w:val="1"/>
        </w:numPr>
      </w:pPr>
      <w:r>
        <w:t xml:space="preserve">[ ] Maintain a privacy incident response procedure</w:t>
      </w:r>
    </w:p>
    <w:p>
      <w:pPr>
        <w:pStyle w:val="ListParagraph"/>
        <w:numPr>
          <w:ilvl w:val="0"/>
          <w:numId w:val="1"/>
        </w:numPr>
      </w:pPr>
      <w:r>
        <w:t xml:space="preserve">[ ] Train employees on privacy obligations and data handling procedures</w:t>
      </w:r>
    </w:p>
    <w:p>
      <w:pPr>
        <w:pStyle w:val="ListParagraph"/>
        <w:numPr>
          <w:ilvl w:val="0"/>
          <w:numId w:val="1"/>
        </w:numPr>
      </w:pPr>
      <w:r>
        <w:t xml:space="preserve">[ ] Appoint a privacy owner or Data Protection Officer (DPO)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Recommended Audit Timeline</w:t>
      </w:r>
    </w:p>
    <w:p>
      <w:r>
        <w:rPr>
          <w:sz w:val="20"/>
        </w:rPr>
        <w:t xml:space="preserve">Phase  |  Duration  |  Activities</w:t>
      </w:r>
    </w:p>
    <w:p>
      <w:r>
        <w:rPr>
          <w:sz w:val="20"/>
        </w:rPr>
        <w:t xml:space="preserve">**Gap Assessment**  |  2-4 weeks  |  Identify gaps between current state and SOC 2 requirements</w:t>
      </w:r>
    </w:p>
    <w:p>
      <w:r>
        <w:rPr>
          <w:sz w:val="20"/>
        </w:rPr>
        <w:t xml:space="preserve">**Remediation**  |  4-12 weeks  |  Implement missing controls and document procedures</w:t>
      </w:r>
    </w:p>
    <w:p>
      <w:r>
        <w:rPr>
          <w:sz w:val="20"/>
        </w:rPr>
        <w:t xml:space="preserve">**Evidence Collection**  |  Ongoing (6-12 months)  |  Collect evidence of controls operating effectively over the audit period</w:t>
      </w:r>
    </w:p>
    <w:p>
      <w:r>
        <w:rPr>
          <w:sz w:val="20"/>
        </w:rPr>
        <w:t xml:space="preserve">**Readiness Assessment**  |  2-4 weeks  |  Internal review to verify all controls are in place and operating</w:t>
      </w:r>
    </w:p>
    <w:p>
      <w:r>
        <w:rPr>
          <w:sz w:val="20"/>
        </w:rPr>
        <w:t xml:space="preserve">**Type II Audit**  |  4-8 weeks  |  External auditor examines controls over a minimum 6-month observation period</w:t>
      </w:r>
    </w:p>
    <w:p>
      <w:r>
        <w:rPr>
          <w:sz w:val="20"/>
        </w:rPr>
        <w:t xml:space="preserve">**Report Issuance**  |  2-4 weeks  |  CPA firm issues the SOC 2 Type II report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Evidence Collection Guide</w:t>
      </w:r>
    </w:p>
    <w:p>
      <w:r>
        <w:t xml:space="preserve">For each control area, collect and maintain the following evidence artifacts for your SOC 2 Type II audit:</w:t>
      </w:r>
    </w:p>
    <w:p>
      <w:pPr>
        <w:pStyle w:val="Heading3"/>
      </w:pPr>
      <w:r>
        <w:t>Security (CC6)</w:t>
      </w:r>
    </w:p>
    <w:p>
      <w:r>
        <w:rPr>
          <w:sz w:val="20"/>
        </w:rPr>
        <w:t xml:space="preserve">Evidence Artifact  |  Description  |  Frequency</w:t>
      </w:r>
    </w:p>
    <w:p>
      <w:r>
        <w:rPr>
          <w:sz w:val="20"/>
        </w:rPr>
        <w:t xml:space="preserve">Access control matrix  |  Document of who has access to each system  |  Quarterly review</w:t>
      </w:r>
    </w:p>
    <w:p>
      <w:r>
        <w:rPr>
          <w:sz w:val="20"/>
        </w:rPr>
        <w:t xml:space="preserve">MFA enrollment report  |  Proof that MFA is enabled for all users  |  Monthly snapshot</w:t>
      </w:r>
    </w:p>
    <w:p>
      <w:r>
        <w:rPr>
          <w:sz w:val="20"/>
        </w:rPr>
        <w:t xml:space="preserve">Penetration test report  |  Results from external penetration testing  |  Annually</w:t>
      </w:r>
    </w:p>
    <w:p>
      <w:r>
        <w:rPr>
          <w:sz w:val="20"/>
        </w:rPr>
        <w:t xml:space="preserve">Vulnerability scan results  |  Automated scan output showing remediation  |  Monthly</w:t>
      </w:r>
    </w:p>
    <w:p>
      <w:r>
        <w:rPr>
          <w:sz w:val="20"/>
        </w:rPr>
        <w:t xml:space="preserve">Encryption configuration  |  Screenshots/configs showing encryption settings  |  On change</w:t>
      </w:r>
    </w:p>
    <w:p>
      <w:r>
        <w:rPr>
          <w:sz w:val="20"/>
        </w:rPr>
        <w:t xml:space="preserve">Access review records  |  Logs of quarterly access recertification  |  Quarterly</w:t>
      </w:r>
    </w:p>
    <w:p>
      <w:pPr>
        <w:pStyle w:val="Heading3"/>
      </w:pPr>
      <w:r>
        <w:t>Availability (A1)</w:t>
      </w:r>
    </w:p>
    <w:p>
      <w:r>
        <w:rPr>
          <w:sz w:val="20"/>
        </w:rPr>
        <w:t xml:space="preserve">Evidence Artifact  |  Description  |  Frequency</w:t>
      </w:r>
    </w:p>
    <w:p>
      <w:r>
        <w:rPr>
          <w:sz w:val="20"/>
        </w:rPr>
        <w:t xml:space="preserve">Uptime reports  |  SLA monitoring dashboard exports  |  Monthly</w:t>
      </w:r>
    </w:p>
    <w:p>
      <w:r>
        <w:rPr>
          <w:sz w:val="20"/>
        </w:rPr>
        <w:t xml:space="preserve">Incident post-mortems  |  Root cause analysis for each outage  |  Per incident</w:t>
      </w:r>
    </w:p>
    <w:p>
      <w:r>
        <w:rPr>
          <w:sz w:val="20"/>
        </w:rPr>
        <w:t xml:space="preserve">DR test results  |  Documentation of disaster recovery tests  |  Annually</w:t>
      </w:r>
    </w:p>
    <w:p>
      <w:r>
        <w:rPr>
          <w:sz w:val="20"/>
        </w:rPr>
        <w:t xml:space="preserve">Backup verification logs  |  Proof that backups complete and are restorable  |  Monthly</w:t>
      </w:r>
    </w:p>
    <w:p>
      <w:r>
        <w:rPr>
          <w:sz w:val="20"/>
        </w:rPr>
        <w:t xml:space="preserve">Capacity planning reviews  |  Resource utilization reports and forecasts  |  Quarterly</w:t>
      </w:r>
    </w:p>
    <w:p>
      <w:pPr>
        <w:pStyle w:val="Heading3"/>
      </w:pPr>
      <w:r>
        <w:t>Processing Integrity (PI1)</w:t>
      </w:r>
    </w:p>
    <w:p>
      <w:r>
        <w:rPr>
          <w:sz w:val="20"/>
        </w:rPr>
        <w:t xml:space="preserve">Evidence Artifact  |  Description  |  Frequency</w:t>
      </w:r>
    </w:p>
    <w:p>
      <w:r>
        <w:rPr>
          <w:sz w:val="20"/>
        </w:rPr>
        <w:t xml:space="preserve">CI/CD pipeline configs  |  Build and deployment pipeline definitions  |  On change</w:t>
      </w:r>
    </w:p>
    <w:p>
      <w:r>
        <w:rPr>
          <w:sz w:val="20"/>
        </w:rPr>
        <w:t xml:space="preserve">Code review records  |  Pull request approvals and review comments  |  Per change</w:t>
      </w:r>
    </w:p>
    <w:p>
      <w:r>
        <w:rPr>
          <w:sz w:val="20"/>
        </w:rPr>
        <w:t xml:space="preserve">Test coverage reports  |  Automated test results and coverage metrics  |  Per build</w:t>
      </w:r>
    </w:p>
    <w:p>
      <w:r>
        <w:rPr>
          <w:sz w:val="20"/>
        </w:rPr>
        <w:t xml:space="preserve">Change management log  |  Record of all production changes  |  Continuous</w:t>
      </w:r>
    </w:p>
    <w:p>
      <w:r>
        <w:rPr>
          <w:sz w:val="20"/>
        </w:rPr>
        <w:t xml:space="preserve">Error rate dashboards  |  Application error monitoring summaries  |  Monthly</w:t>
      </w:r>
    </w:p>
    <w:p>
      <w:pPr>
        <w:pStyle w:val="Heading3"/>
      </w:pPr>
      <w:r>
        <w:t>Confidentiality (C1)</w:t>
      </w:r>
    </w:p>
    <w:p>
      <w:r>
        <w:rPr>
          <w:sz w:val="20"/>
        </w:rPr>
        <w:t xml:space="preserve">Evidence Artifact  |  Description  |  Frequency</w:t>
      </w:r>
    </w:p>
    <w:p>
      <w:r>
        <w:rPr>
          <w:sz w:val="20"/>
        </w:rPr>
        <w:t xml:space="preserve">Data classification inventory  |  Catalog of data stores with classifications  |  Annually</w:t>
      </w:r>
    </w:p>
    <w:p>
      <w:r>
        <w:rPr>
          <w:sz w:val="20"/>
        </w:rPr>
        <w:t xml:space="preserve">Encryption audit  |  Verification of encryption at rest and in transit  |  Quarterly</w:t>
      </w:r>
    </w:p>
    <w:p>
      <w:r>
        <w:rPr>
          <w:sz w:val="20"/>
        </w:rPr>
        <w:t xml:space="preserve">Key management procedures  |  Documentation of key rotation and storage  |  On change</w:t>
      </w:r>
    </w:p>
    <w:p>
      <w:r>
        <w:rPr>
          <w:sz w:val="20"/>
        </w:rPr>
        <w:t xml:space="preserve">DPA agreements  |  Signed Data Processing Agreements with vendors  |  On onboarding</w:t>
      </w:r>
    </w:p>
    <w:p>
      <w:r>
        <w:rPr>
          <w:sz w:val="20"/>
        </w:rPr>
        <w:t xml:space="preserve">PCI SAQ (if applicable)  |  Completed PCI Self-Assessment Questionnaire  |  Annually</w:t>
      </w:r>
    </w:p>
    <w:p>
      <w:pPr>
        <w:pStyle w:val="Heading3"/>
      </w:pPr>
      <w:r>
        <w:t>Privacy (P1-P8)</w:t>
      </w:r>
    </w:p>
    <w:p>
      <w:r>
        <w:rPr>
          <w:sz w:val="20"/>
        </w:rPr>
        <w:t xml:space="preserve">Evidence Artifact  |  Description  |  Frequency</w:t>
      </w:r>
    </w:p>
    <w:p>
      <w:r>
        <w:rPr>
          <w:sz w:val="20"/>
        </w:rPr>
        <w:t xml:space="preserve">Privacy Policy  |  Published privacy notice  |  On change</w:t>
      </w:r>
    </w:p>
    <w:p>
      <w:r>
        <w:rPr>
          <w:sz w:val="20"/>
        </w:rPr>
        <w:t xml:space="preserve">Consent records  |  Logs of user consent with timestamps  |  Continuous</w:t>
      </w:r>
    </w:p>
    <w:p>
      <w:r>
        <w:rPr>
          <w:sz w:val="20"/>
        </w:rPr>
        <w:t xml:space="preserve">ROPA  |  Record of Processing Activities  |  Annually</w:t>
      </w:r>
    </w:p>
    <w:p>
      <w:r>
        <w:rPr>
          <w:sz w:val="20"/>
        </w:rPr>
        <w:t xml:space="preserve">DSAR response logs  |  Records of data subject access requests handled  |  Per request</w:t>
      </w:r>
    </w:p>
    <w:p>
      <w:r>
        <w:rPr>
          <w:sz w:val="20"/>
        </w:rPr>
        <w:t xml:space="preserve">Privacy impact assessments  |  PIA reports for new features or changes  |  Per project</w:t>
      </w:r>
    </w:p>
    <w:p>
      <w:r>
        <w:rPr>
          <w:sz w:val="20"/>
        </w:rPr>
        <w:t xml:space="preserve">Employee training records  |  Proof of privacy training completion  |  Annually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6. Next Steps</w:t>
      </w:r>
    </w:p>
    <w:p>
      <w:pPr>
        <w:pStyle w:val="ListParagraph"/>
        <w:numPr>
          <w:ilvl w:val="0"/>
          <w:numId w:val="2"/>
        </w:numPr>
      </w:pPr>
      <w:r>
        <w:t xml:space="preserve">**Assign an owner** for each control area listed above.</w:t>
      </w:r>
    </w:p>
    <w:p>
      <w:pPr>
        <w:pStyle w:val="ListParagraph"/>
        <w:numPr>
          <w:ilvl w:val="0"/>
          <w:numId w:val="2"/>
        </w:numPr>
      </w:pPr>
      <w:r>
        <w:t xml:space="preserve">**Conduct a gap assessment** comparing your current controls to this checklist.</w:t>
      </w:r>
    </w:p>
    <w:p>
      <w:pPr>
        <w:pStyle w:val="ListParagraph"/>
        <w:numPr>
          <w:ilvl w:val="0"/>
          <w:numId w:val="2"/>
        </w:numPr>
      </w:pPr>
      <w:r>
        <w:t xml:space="preserve">**Prioritize remediation** starting with Security (CC6) and Availability (A1).</w:t>
      </w:r>
    </w:p>
    <w:p>
      <w:pPr>
        <w:pStyle w:val="ListParagraph"/>
        <w:numPr>
          <w:ilvl w:val="0"/>
          <w:numId w:val="2"/>
        </w:numPr>
      </w:pPr>
      <w:r>
        <w:t xml:space="preserve">**Begin evidence collection** immediately — SOC 2 Type II requires evidence over a 6-12 month observation period.</w:t>
      </w:r>
    </w:p>
    <w:p>
      <w:pPr>
        <w:pStyle w:val="ListParagraph"/>
        <w:numPr>
          <w:ilvl w:val="0"/>
          <w:numId w:val="2"/>
        </w:numPr>
      </w:pPr>
      <w:r>
        <w:t xml:space="preserve">**Engage an auditor** early to align on scope and expectations.</w:t>
      </w:r>
    </w:p>
    <w:p>
      <w:pPr>
        <w:pBdr>
          <w:bottom w:val="single" w:sz="6" w:space="1" w:color="999999"/>
        </w:pBdr>
      </w:pPr>
    </w:p>
    <w:p>
      <w:r>
        <w:t xml:space="preserve">This SOC 2 Readiness Checklist was generated by [Codepliant](https://github.com/joechensmartz/codepliant) based on automated code analysis. It should be reviewed by a qualified professional before use in audit preparation.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